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📋 Annex F – Dashboard</w:t>
      </w:r>
    </w:p>
    <w:p>
      <w:r>
        <w:t>Methodology: KPI progression modelled from pilot assumptions, aligned with Terra Vita’s 5‑year roadmap. Figures are forward‑looking only, not measured.</w:t>
      </w:r>
    </w:p>
    <w:p>
      <w:r>
        <w:t>KPI Progression Table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Year</w:t>
            </w:r>
          </w:p>
        </w:tc>
        <w:tc>
          <w:tcPr>
            <w:tcW w:type="dxa" w:w="1728"/>
          </w:tcPr>
          <w:p>
            <w:r>
              <w:t>IRR (%)</w:t>
            </w:r>
          </w:p>
        </w:tc>
        <w:tc>
          <w:tcPr>
            <w:tcW w:type="dxa" w:w="1728"/>
          </w:tcPr>
          <w:p>
            <w:r>
              <w:t>Jobs Created</w:t>
            </w:r>
          </w:p>
        </w:tc>
        <w:tc>
          <w:tcPr>
            <w:tcW w:type="dxa" w:w="1728"/>
          </w:tcPr>
          <w:p>
            <w:r>
              <w:t>Land Restored (ha)</w:t>
            </w:r>
          </w:p>
        </w:tc>
        <w:tc>
          <w:tcPr>
            <w:tcW w:type="dxa" w:w="1728"/>
          </w:tcPr>
          <w:p>
            <w:r>
              <w:t>Carbon Credits (tons CO₂e)</w:t>
            </w:r>
          </w:p>
        </w:tc>
      </w:tr>
      <w:tr>
        <w:tc>
          <w:tcPr>
            <w:tcW w:type="dxa" w:w="1728"/>
          </w:tcPr>
          <w:p>
            <w:r>
              <w:t>Y1</w:t>
            </w:r>
          </w:p>
        </w:tc>
        <w:tc>
          <w:tcPr>
            <w:tcW w:type="dxa" w:w="1728"/>
          </w:tcPr>
          <w:p>
            <w:r>
              <w:t>22</w:t>
            </w:r>
          </w:p>
        </w:tc>
        <w:tc>
          <w:tcPr>
            <w:tcW w:type="dxa" w:w="1728"/>
          </w:tcPr>
          <w:p>
            <w:r>
              <w:t>10</w:t>
            </w:r>
          </w:p>
        </w:tc>
        <w:tc>
          <w:tcPr>
            <w:tcW w:type="dxa" w:w="1728"/>
          </w:tcPr>
          <w:p>
            <w:r>
              <w:t>2</w:t>
            </w:r>
          </w:p>
        </w:tc>
        <w:tc>
          <w:tcPr>
            <w:tcW w:type="dxa" w:w="1728"/>
          </w:tcPr>
          <w:p>
            <w:r>
              <w:t>0</w:t>
            </w:r>
          </w:p>
        </w:tc>
      </w:tr>
      <w:tr>
        <w:tc>
          <w:tcPr>
            <w:tcW w:type="dxa" w:w="1728"/>
          </w:tcPr>
          <w:p>
            <w:r>
              <w:t>Y2</w:t>
            </w:r>
          </w:p>
        </w:tc>
        <w:tc>
          <w:tcPr>
            <w:tcW w:type="dxa" w:w="1728"/>
          </w:tcPr>
          <w:p>
            <w:r>
              <w:t>23</w:t>
            </w:r>
          </w:p>
        </w:tc>
        <w:tc>
          <w:tcPr>
            <w:tcW w:type="dxa" w:w="1728"/>
          </w:tcPr>
          <w:p>
            <w:r>
              <w:t>12</w:t>
            </w:r>
          </w:p>
        </w:tc>
        <w:tc>
          <w:tcPr>
            <w:tcW w:type="dxa" w:w="1728"/>
          </w:tcPr>
          <w:p>
            <w:r>
              <w:t>3</w:t>
            </w:r>
          </w:p>
        </w:tc>
        <w:tc>
          <w:tcPr>
            <w:tcW w:type="dxa" w:w="1728"/>
          </w:tcPr>
          <w:p>
            <w:r>
              <w:t>100</w:t>
            </w:r>
          </w:p>
        </w:tc>
      </w:tr>
      <w:tr>
        <w:tc>
          <w:tcPr>
            <w:tcW w:type="dxa" w:w="1728"/>
          </w:tcPr>
          <w:p>
            <w:r>
              <w:t>Y3</w:t>
            </w:r>
          </w:p>
        </w:tc>
        <w:tc>
          <w:tcPr>
            <w:tcW w:type="dxa" w:w="1728"/>
          </w:tcPr>
          <w:p>
            <w:r>
              <w:t>24</w:t>
            </w:r>
          </w:p>
        </w:tc>
        <w:tc>
          <w:tcPr>
            <w:tcW w:type="dxa" w:w="1728"/>
          </w:tcPr>
          <w:p>
            <w:r>
              <w:t>15</w:t>
            </w:r>
          </w:p>
        </w:tc>
        <w:tc>
          <w:tcPr>
            <w:tcW w:type="dxa" w:w="1728"/>
          </w:tcPr>
          <w:p>
            <w:r>
              <w:t>3.5</w:t>
            </w:r>
          </w:p>
        </w:tc>
        <w:tc>
          <w:tcPr>
            <w:tcW w:type="dxa" w:w="1728"/>
          </w:tcPr>
          <w:p>
            <w:r>
              <w:t>200</w:t>
            </w:r>
          </w:p>
        </w:tc>
      </w:tr>
      <w:tr>
        <w:tc>
          <w:tcPr>
            <w:tcW w:type="dxa" w:w="1728"/>
          </w:tcPr>
          <w:p>
            <w:r>
              <w:t>Y4</w:t>
            </w:r>
          </w:p>
        </w:tc>
        <w:tc>
          <w:tcPr>
            <w:tcW w:type="dxa" w:w="1728"/>
          </w:tcPr>
          <w:p>
            <w:r>
              <w:t>25</w:t>
            </w:r>
          </w:p>
        </w:tc>
        <w:tc>
          <w:tcPr>
            <w:tcW w:type="dxa" w:w="1728"/>
          </w:tcPr>
          <w:p>
            <w:r>
              <w:t>18</w:t>
            </w:r>
          </w:p>
        </w:tc>
        <w:tc>
          <w:tcPr>
            <w:tcW w:type="dxa" w:w="1728"/>
          </w:tcPr>
          <w:p>
            <w:r>
              <w:t>4.2</w:t>
            </w:r>
          </w:p>
        </w:tc>
        <w:tc>
          <w:tcPr>
            <w:tcW w:type="dxa" w:w="1728"/>
          </w:tcPr>
          <w:p>
            <w:r>
              <w:t>300</w:t>
            </w:r>
          </w:p>
        </w:tc>
      </w:tr>
      <w:tr>
        <w:tc>
          <w:tcPr>
            <w:tcW w:type="dxa" w:w="1728"/>
          </w:tcPr>
          <w:p>
            <w:r>
              <w:t>Y5</w:t>
            </w:r>
          </w:p>
        </w:tc>
        <w:tc>
          <w:tcPr>
            <w:tcW w:type="dxa" w:w="1728"/>
          </w:tcPr>
          <w:p>
            <w:r>
              <w:t>25</w:t>
            </w:r>
          </w:p>
        </w:tc>
        <w:tc>
          <w:tcPr>
            <w:tcW w:type="dxa" w:w="1728"/>
          </w:tcPr>
          <w:p>
            <w:r>
              <w:t>20</w:t>
            </w:r>
          </w:p>
        </w:tc>
        <w:tc>
          <w:tcPr>
            <w:tcW w:type="dxa" w:w="1728"/>
          </w:tcPr>
          <w:p>
            <w:r>
              <w:t>5</w:t>
            </w:r>
          </w:p>
        </w:tc>
        <w:tc>
          <w:tcPr>
            <w:tcW w:type="dxa" w:w="1728"/>
          </w:tcPr>
          <w:p>
            <w:r>
              <w:t>400</w:t>
            </w:r>
          </w:p>
        </w:tc>
      </w:tr>
      <w:tr>
        <w:tc>
          <w:tcPr>
            <w:tcW w:type="dxa" w:w="1728"/>
          </w:tcPr>
          <w:p>
            <w:r>
              <w:t>Total (Y1–Y5)</w:t>
            </w:r>
          </w:p>
        </w:tc>
        <w:tc>
          <w:tcPr>
            <w:tcW w:type="dxa" w:w="1728"/>
          </w:tcPr>
          <w:p>
            <w:r>
              <w:t>—</w:t>
            </w:r>
          </w:p>
        </w:tc>
        <w:tc>
          <w:tcPr>
            <w:tcW w:type="dxa" w:w="1728"/>
          </w:tcPr>
          <w:p>
            <w:r>
              <w:t>75</w:t>
            </w:r>
          </w:p>
        </w:tc>
        <w:tc>
          <w:tcPr>
            <w:tcW w:type="dxa" w:w="1728"/>
          </w:tcPr>
          <w:p>
            <w:r>
              <w:t>17.7</w:t>
            </w:r>
          </w:p>
        </w:tc>
        <w:tc>
          <w:tcPr>
            <w:tcW w:type="dxa" w:w="1728"/>
          </w:tcPr>
          <w:p>
            <w:r>
              <w:t>1000</w:t>
            </w:r>
          </w:p>
        </w:tc>
      </w:tr>
    </w:tbl>
    <w:p>
      <w:r>
        <w:t>Key View: Scan‑friendly KPI snapshot reinforces Terra Vita’s growth trajectory — financial, social, and environmental metrics all improving in tandem.</w:t>
      </w:r>
    </w:p>
    <w:p>
      <w:r>
        <w:t>Investor Logic</w:t>
      </w:r>
    </w:p>
    <w:p>
      <w:r>
        <w:t>IRR: Rising to 25% signals attractive long‑term returns.</w:t>
      </w:r>
    </w:p>
    <w:p>
      <w:r>
        <w:t>Jobs: Doubling to 20 by Year 5 reflects tangible social impact (total 75 jobs created over five years).</w:t>
      </w:r>
    </w:p>
    <w:p>
      <w:r>
        <w:t>Land: Restoration from 2 ha → 5 ha (total 17.7 ha restored cumulatively) underscores ecological commitment.</w:t>
      </w:r>
    </w:p>
    <w:p>
      <w:r>
        <w:t>Carbon Credits: Scaling from Year 2 (total 1,000 tons CO₂e over Y1–Y5) provides climate impact and revenue potential.</w:t>
      </w:r>
    </w:p>
    <w:p>
      <w:r>
        <w:t>Visuals</w:t>
      </w:r>
    </w:p>
    <w:p>
      <w:r>
        <w:drawing>
          <wp:inline xmlns:a="http://schemas.openxmlformats.org/drawingml/2006/main" xmlns:pic="http://schemas.openxmlformats.org/drawingml/2006/picture">
            <wp:extent cx="5029200" cy="30175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nnexF_irr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0175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drawing>
          <wp:inline xmlns:a="http://schemas.openxmlformats.org/drawingml/2006/main" xmlns:pic="http://schemas.openxmlformats.org/drawingml/2006/picture">
            <wp:extent cx="5029200" cy="301752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nnexF_jobs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0175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drawing>
          <wp:inline xmlns:a="http://schemas.openxmlformats.org/drawingml/2006/main" xmlns:pic="http://schemas.openxmlformats.org/drawingml/2006/picture">
            <wp:extent cx="5029200" cy="301752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nnexF_land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0175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drawing>
          <wp:inline xmlns:a="http://schemas.openxmlformats.org/drawingml/2006/main" xmlns:pic="http://schemas.openxmlformats.org/drawingml/2006/picture">
            <wp:extent cx="5029200" cy="3017520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nnexF_carbon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01752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